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8378"/>
      </w:tblGrid>
      <w:tr w:rsidR="00E0421B"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800100" cy="800100"/>
                  <wp:effectExtent l="0" t="0" r="0" b="0"/>
                  <wp:docPr id="1" name="Picture 1" descr="http://web.liemsis.lt/lkkadocs/logofor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.liemsis.lt/lkkadocs/logofor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LIETUVOS SPORTO UNIVERSITETAS</w:t>
            </w:r>
          </w:p>
        </w:tc>
      </w:tr>
    </w:tbl>
    <w:p w:rsidR="00E0421B" w:rsidRDefault="005B0505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STUDIJŲ DALYKO PROGRAMA (SDP)</w:t>
      </w:r>
    </w:p>
    <w:p w:rsidR="00E0421B" w:rsidRDefault="00E0421B">
      <w:pPr>
        <w:pStyle w:val="NormalWeb"/>
        <w:rPr>
          <w:color w:val="000000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534"/>
        <w:gridCol w:w="806"/>
        <w:gridCol w:w="773"/>
        <w:gridCol w:w="1256"/>
        <w:gridCol w:w="1245"/>
        <w:gridCol w:w="773"/>
        <w:gridCol w:w="474"/>
        <w:gridCol w:w="534"/>
        <w:gridCol w:w="635"/>
        <w:gridCol w:w="634"/>
        <w:gridCol w:w="634"/>
      </w:tblGrid>
      <w:tr w:rsidR="0015059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Dalyko kodas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Atestuotas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iki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15059D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1505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15059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Atnaujinimo data</w:t>
            </w:r>
          </w:p>
        </w:tc>
      </w:tr>
      <w:tr w:rsidR="0015059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Mokslo šaka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Progr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Registr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 Nr.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E0421B" w:rsidRDefault="005B0505">
      <w:pPr>
        <w:pStyle w:val="NormalWeb"/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Pavadinimas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E0421B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Taikomoji kompiuterinė statistika</w:t>
            </w:r>
          </w:p>
        </w:tc>
      </w:tr>
    </w:tbl>
    <w:p w:rsidR="00E0421B" w:rsidRDefault="005B0505">
      <w:pPr>
        <w:pStyle w:val="NormalWeb"/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Būtinas pasirengimas dalyko studijoms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E0421B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Aukštasis universitetinis išsilavinimas, magistro laipsnis. Išklausytas taikomosios statistikos pagrindų kursas</w:t>
            </w:r>
          </w:p>
        </w:tc>
      </w:tr>
    </w:tbl>
    <w:p w:rsidR="00E0421B" w:rsidRDefault="005B0505">
      <w:pPr>
        <w:pStyle w:val="NormalWeb"/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Pagrindinis tikslas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E0421B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Tyrimų metodologijos ir statistikos mokslo pasiekimų pagrindu suteikti doktorantams žinių apie šiuolaikinius kompiuterinius statistinės duomenų analizės metodus, taikomus biologijoje, medicinoje bei socialiniuose tyrimuose, akcentuojant hipotezių tikrinimą</w:t>
            </w:r>
          </w:p>
        </w:tc>
      </w:tr>
    </w:tbl>
    <w:p w:rsidR="00E0421B" w:rsidRDefault="005B0505">
      <w:pPr>
        <w:pStyle w:val="NormalWeb"/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Suteikiamos žinios ir gebėjimai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Gebės kelti statistines hipotezes pažangių tyrimo metodologijų, įskaitant kompleksinių dinaminių sistemų teoriją, pagrindu. 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Gebės parinkti adekvačius iškeltų statistinių hipotezių tikrinimo bei duomenų analizės metodus. 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Gebės interpretuoti daugelio veiksnių aplinkoje gautus rezultatus ir formuluoti mokslines išvadas.</w:t>
            </w:r>
          </w:p>
        </w:tc>
      </w:tr>
    </w:tbl>
    <w:p w:rsidR="00E0421B" w:rsidRDefault="005B0505">
      <w:pPr>
        <w:pStyle w:val="NormalWeb"/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Anotacija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Modulyje pateikiami šiuolaikiniai biomedicininių tyrimų duomenų apdorojimo ir analizės metodai. Kompleksinės ir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multifraktalinės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biologinės sistemos. Fiziologinės laiko eilutės ir jų analizė. Duomenų statistinis ryšys ir priežastingumas.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Vienmatė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ir daugiamatė dviejų veiksnių dispersinė analizė, daugybinių kartotinių testų dispersinė analizė. Binarinė logistinė regresija ir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diskriminantinė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analizė.</w:t>
            </w:r>
          </w:p>
        </w:tc>
      </w:tr>
    </w:tbl>
    <w:p w:rsidR="00E0421B" w:rsidRDefault="005B0505">
      <w:pPr>
        <w:pStyle w:val="NormalWeb"/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Dalyko paskirtis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2183"/>
        <w:gridCol w:w="5633"/>
      </w:tblGrid>
      <w:tr w:rsidR="00E0421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Universitetinių studijų lygmuo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Dalykų grupė (pagal krypties reglamentą)</w:t>
            </w:r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Pakopa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Rūšis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Trečia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Daktaro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Bendrojo universitetinio lavinimo</w:t>
            </w:r>
          </w:p>
        </w:tc>
      </w:tr>
    </w:tbl>
    <w:p w:rsidR="00E0421B" w:rsidRDefault="005B0505">
      <w:pPr>
        <w:pStyle w:val="NormalWeb"/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Studijų sritis arba kryptis pagal studijų finansavimo metodiką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E0421B" w:rsidRDefault="005B0505">
      <w:pPr>
        <w:pStyle w:val="NormalWeb"/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Dalys (skyriai) ir temos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6397"/>
        <w:gridCol w:w="2587"/>
      </w:tblGrid>
      <w:tr w:rsidR="00E0421B">
        <w:trPr>
          <w:tblHeader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Pavadinimai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Atsakingas dėstytojas </w:t>
            </w:r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Kompleksinės ir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multifraktalinės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biologinės sistemos. Fiziologinės laiko eilutės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345 prof.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habil.dr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. Kazimieras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Pukėnas</w:t>
            </w:r>
            <w:proofErr w:type="spellEnd"/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Tiesiniai ir netiesiniai fiziologinių laiko eilučių analizės metodai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345 prof.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habil.dr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. Kazimieras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Pukėnas</w:t>
            </w:r>
            <w:proofErr w:type="spellEnd"/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Biologinių sistemų kompleksiškumo vertinimo metodai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entropijų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Shannon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ir kt.) pagrindu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345 prof.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habil.dr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. Kazimieras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Pukėnas</w:t>
            </w:r>
            <w:proofErr w:type="spellEnd"/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Duomenų statistinis ryšys ir priežastingumas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345 prof.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habil.dr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. Kazimieras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Pukėnas</w:t>
            </w:r>
            <w:proofErr w:type="spellEnd"/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Vienmatė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ir daugiamatė dviejų veiksnių dispersinė analizė vertinant kategorinių ir intervalinių faktorių įtaką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345 prof.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habil.dr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. Kazimieras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Pukėnas</w:t>
            </w:r>
            <w:proofErr w:type="spellEnd"/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Daugybinių kartotinių testų dviejų veiksnių dispersinė analizė vertinant kategorinių ir intervalinių faktorių įtaką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345 prof.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habil.dr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. Kazimieras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Pukėnas</w:t>
            </w:r>
            <w:proofErr w:type="spellEnd"/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Binarinė logistinė regresija,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ranginė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regresija,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Cox’o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regresija, ROC kreivės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345 prof.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habil.dr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. Kazimieras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Pukėnas</w:t>
            </w:r>
            <w:proofErr w:type="spellEnd"/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Diskriminantinė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analizė, sprendimų medžiai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345 prof.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habil.dr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. Kazimieras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Pukėnas</w:t>
            </w:r>
            <w:proofErr w:type="spellEnd"/>
          </w:p>
        </w:tc>
      </w:tr>
    </w:tbl>
    <w:p w:rsidR="00E0421B" w:rsidRDefault="005B0505">
      <w:pPr>
        <w:pStyle w:val="NormalWeb"/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Studijų metodai:</w:t>
      </w:r>
    </w:p>
    <w:p w:rsidR="00E0421B" w:rsidRDefault="005B0505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Probleminis dėstymas, grupinis darbas, seminarai, fundamentalių žinių sisteminimas, konkrečių atvejų analizė</w:t>
      </w:r>
    </w:p>
    <w:p w:rsidR="00E0421B" w:rsidRDefault="005B0505">
      <w:pPr>
        <w:pStyle w:val="NormalWeb"/>
        <w:keepNext/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Žinių ir gebėjimų įvertinimo tvarka:</w:t>
      </w:r>
    </w:p>
    <w:p w:rsidR="00E0421B" w:rsidRDefault="005B0505">
      <w:pPr>
        <w:pStyle w:val="NormalWeb"/>
        <w:keepNext/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Pagrindinė literatūra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6200"/>
        <w:gridCol w:w="490"/>
        <w:gridCol w:w="667"/>
        <w:gridCol w:w="852"/>
        <w:gridCol w:w="732"/>
      </w:tblGrid>
      <w:tr w:rsidR="00E0421B">
        <w:trPr>
          <w:tblHeader/>
        </w:trPr>
        <w:tc>
          <w:tcPr>
            <w:tcW w:w="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Eil.Nr.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Literatūros šaltinio pavadinimas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Leidinio LSU bibliotekoje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Ar yra LSU knygyne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Egz. sk. fak.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metod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. kab.</w:t>
            </w:r>
          </w:p>
        </w:tc>
      </w:tr>
      <w:tr w:rsidR="00E0421B">
        <w:trPr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šifras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egz. sk.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0421B">
        <w:trPr>
          <w:cantSplit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Seely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A. JE,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Macklem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P.T. (2004).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Complex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systems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technology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variability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analysis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Critical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Care,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. 8,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Iss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.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0421B">
        <w:trPr>
          <w:cantSplit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Stanley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H.E.,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Amaral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L.A.N.,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Goldberger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A.L., et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. (1999).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Statistical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physics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physiology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Monofractal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multifractal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approaches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Physica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 270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0421B">
        <w:trPr>
          <w:cantSplit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Pukėnas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K., Poderys J., Gulbinas R. (2012).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Measuring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complexity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physiological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time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series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review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Ugdymas. Kūno kultūra. Sportas, 1(84)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0421B">
        <w:trPr>
          <w:cantSplit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Scafetta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N.,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Marchi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D.,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West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B.J. (2009).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Understanding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complexity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human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gait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dynamics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CHAOS 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0421B">
        <w:trPr>
          <w:cantSplit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McGregor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S.J.,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Busa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M.A.,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Skufca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J.,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Yaggie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J.A.,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Bollt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E.M. (2009).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Control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entropy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identifies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differential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changes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complexity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walking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running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gait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patterns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with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increasing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speed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highly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trained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runners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CHAOS 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0421B">
        <w:trPr>
          <w:cantSplit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Sato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J.R.,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Fujita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A.,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Cardoso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E.F., et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. (2010).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Analyzing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connectivity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between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regions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interest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approach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based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cluster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Granger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causality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fMRI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analysis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NeuroImage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0421B">
        <w:trPr>
          <w:cantSplit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Pukėnas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, K. (2014). Taikomoji kompiuterinė statistika B110D001, http://emokymas.lsu.lt/course/index.php?categoryid=44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E0421B" w:rsidRDefault="005B0505">
      <w:pPr>
        <w:pStyle w:val="NormalWeb"/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Papildoma literatūra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9039"/>
      </w:tblGrid>
      <w:tr w:rsidR="00E0421B">
        <w:trPr>
          <w:tblHeader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Eil.Nr.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Literatūros šaltinio pavadinimas</w:t>
            </w:r>
          </w:p>
        </w:tc>
      </w:tr>
      <w:tr w:rsidR="00E0421B">
        <w:trPr>
          <w:cantSplit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Brazaitis M, Skurvydas A.,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Pukėnas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K., et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. (2012).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effect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temperature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amount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structure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motor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variability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during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2-minute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maximum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voluntary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contraction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Muscle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&amp; Nerve, 46 (5) </w:t>
            </w:r>
          </w:p>
        </w:tc>
      </w:tr>
      <w:tr w:rsidR="00E0421B">
        <w:trPr>
          <w:cantSplit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Liu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L.A.,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Wei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D. (2011).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Handbook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Research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Computational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Systems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Biology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Interdisciplinary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Applications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Hershey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Medical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Information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Science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Reference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0421B">
        <w:trPr>
          <w:cantSplit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Armitage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P.,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Berry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G.,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Mathews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J.N.S. (2002).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Statistical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Methods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Medical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Research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fourth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Oxford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Blackwell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Science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Ltd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0421B">
        <w:trPr>
          <w:cantSplit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Garson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D. (2014).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Statistical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Associates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Publishers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, http://www.statisticalassociates.com/ (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registration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required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</w:tbl>
    <w:p w:rsidR="00E0421B" w:rsidRDefault="005B0505">
      <w:pPr>
        <w:pStyle w:val="NormalWeb"/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Koordinuojantysis dėstytojas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5647"/>
        <w:gridCol w:w="2125"/>
      </w:tblGrid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Pareigos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Mokslo laipsnis, pavardė, vardas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Tabelio Nr.</w:t>
            </w:r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profesorius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habil.dr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. Kazimieras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Pukėnas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345</w:t>
            </w:r>
          </w:p>
        </w:tc>
      </w:tr>
    </w:tbl>
    <w:p w:rsidR="00E0421B" w:rsidRDefault="005B0505">
      <w:pPr>
        <w:pStyle w:val="NormalWeb"/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Padalinys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9"/>
        <w:gridCol w:w="985"/>
      </w:tblGrid>
      <w:tr w:rsidR="00E0421B">
        <w:tc>
          <w:tcPr>
            <w:tcW w:w="4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Pavadinimas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Kodas</w:t>
            </w:r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Taikomosios biologijos ir reabilitacijos katedra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2006</w:t>
            </w:r>
          </w:p>
        </w:tc>
      </w:tr>
    </w:tbl>
    <w:p w:rsidR="00E0421B" w:rsidRDefault="00461516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pict>
          <v:rect id="_x0000_i1025" style="width:.05pt;height:3pt" o:hrpct="980" o:hralign="center" o:hrstd="t" o:hrnoshade="t" o:hr="t" fillcolor="gray" stroked="f"/>
        </w:pic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326"/>
      </w:tblGrid>
      <w:tr w:rsidR="00E0421B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Studijų dalyko vedimo forma Nr.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E0421B" w:rsidRDefault="005B0505">
      <w:pPr>
        <w:pStyle w:val="NormalWe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992"/>
        <w:gridCol w:w="2599"/>
        <w:gridCol w:w="650"/>
        <w:gridCol w:w="650"/>
        <w:gridCol w:w="650"/>
        <w:gridCol w:w="650"/>
        <w:gridCol w:w="1299"/>
        <w:gridCol w:w="1299"/>
      </w:tblGrid>
      <w:tr w:rsidR="00E0421B">
        <w:tc>
          <w:tcPr>
            <w:tcW w:w="95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Semestras</w:t>
            </w:r>
          </w:p>
        </w:tc>
        <w:tc>
          <w:tcPr>
            <w:tcW w:w="12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Studijų forma</w:t>
            </w:r>
          </w:p>
        </w:tc>
        <w:tc>
          <w:tcPr>
            <w:tcW w:w="12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Struktūra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Iš viso val.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Kred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E0421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E6E6E6"/>
                <w:sz w:val="22"/>
                <w:szCs w:val="22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</w:tbl>
    <w:p w:rsidR="00E0421B" w:rsidRDefault="005B0505">
      <w:pPr>
        <w:pStyle w:val="NormalWeb"/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Dėstomoji kalba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402"/>
        <w:gridCol w:w="1225"/>
        <w:gridCol w:w="403"/>
        <w:gridCol w:w="1225"/>
        <w:gridCol w:w="403"/>
        <w:gridCol w:w="1225"/>
        <w:gridCol w:w="403"/>
        <w:gridCol w:w="1225"/>
        <w:gridCol w:w="403"/>
        <w:gridCol w:w="1225"/>
        <w:gridCol w:w="491"/>
      </w:tblGrid>
      <w:tr w:rsidR="00E0421B"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lietuvių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anglų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rusų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E6E6E6"/>
                <w:sz w:val="22"/>
                <w:szCs w:val="22"/>
              </w:rPr>
              <w:t>R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prancūzų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E6E6E6"/>
                <w:sz w:val="22"/>
                <w:szCs w:val="22"/>
              </w:rPr>
              <w:t>P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vokiečių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E6E6E6"/>
                <w:sz w:val="22"/>
                <w:szCs w:val="22"/>
              </w:rPr>
              <w:t>V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kita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E6E6E6"/>
                <w:sz w:val="22"/>
                <w:szCs w:val="22"/>
              </w:rPr>
              <w:t>Kt.</w:t>
            </w:r>
          </w:p>
        </w:tc>
      </w:tr>
    </w:tbl>
    <w:p w:rsidR="00E0421B" w:rsidRDefault="005B0505">
      <w:pPr>
        <w:pStyle w:val="NormalWeb"/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Auditorinių užsiėmimų planas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1081"/>
        <w:gridCol w:w="1043"/>
        <w:gridCol w:w="1081"/>
        <w:gridCol w:w="1722"/>
        <w:gridCol w:w="1081"/>
        <w:gridCol w:w="1043"/>
        <w:gridCol w:w="1081"/>
      </w:tblGrid>
      <w:tr w:rsidR="00E0421B">
        <w:trPr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Temos Nr.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Akademinės valandos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Temos Nr.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Akademinės valandos</w:t>
            </w:r>
          </w:p>
        </w:tc>
      </w:tr>
      <w:tr w:rsidR="00E0421B">
        <w:trPr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</w:t>
            </w:r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0421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E0421B" w:rsidRDefault="005B0505">
      <w:pPr>
        <w:pStyle w:val="NormalWeb"/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Savarankiško darbo užduočių grafikas ir jų įtaka galutiniam pažymiui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362"/>
        <w:gridCol w:w="734"/>
        <w:gridCol w:w="693"/>
        <w:gridCol w:w="194"/>
        <w:gridCol w:w="193"/>
        <w:gridCol w:w="193"/>
        <w:gridCol w:w="193"/>
        <w:gridCol w:w="193"/>
        <w:gridCol w:w="193"/>
        <w:gridCol w:w="193"/>
        <w:gridCol w:w="193"/>
        <w:gridCol w:w="193"/>
        <w:gridCol w:w="356"/>
        <w:gridCol w:w="356"/>
        <w:gridCol w:w="356"/>
        <w:gridCol w:w="356"/>
        <w:gridCol w:w="356"/>
        <w:gridCol w:w="356"/>
        <w:gridCol w:w="356"/>
        <w:gridCol w:w="792"/>
      </w:tblGrid>
      <w:tr w:rsidR="00E0421B">
        <w:trPr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Užduoties tipas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Temos(ų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) Nr.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Iš viso,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val.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Įtaka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paž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Užduoties pateikimo (*) ir atsiskaitymo savaitė (o)</w:t>
            </w:r>
          </w:p>
        </w:tc>
      </w:tr>
      <w:tr w:rsidR="00E0421B">
        <w:trPr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21B" w:rsidRDefault="00E0421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17-20</w:t>
            </w:r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Kontrolinis darbas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Kontrolinis darbas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Kontrolinis darbas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042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21B" w:rsidRDefault="005B05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21B" w:rsidRDefault="00E0421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B0505" w:rsidRDefault="005B0505">
      <w:pPr>
        <w:rPr>
          <w:rFonts w:eastAsia="Times New Roman"/>
        </w:rPr>
      </w:pPr>
    </w:p>
    <w:sectPr w:rsidR="005B0505">
      <w:pgSz w:w="11906" w:h="16838"/>
      <w:pgMar w:top="794" w:right="1134" w:bottom="79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1296"/>
  <w:hyphenationZone w:val="396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C1FA0"/>
    <w:rsid w:val="000C1FA0"/>
    <w:rsid w:val="0015059D"/>
    <w:rsid w:val="00461516"/>
    <w:rsid w:val="005B0505"/>
    <w:rsid w:val="00E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ind w:left="108" w:right="108"/>
    </w:pPr>
  </w:style>
  <w:style w:type="paragraph" w:customStyle="1" w:styleId="sm">
    <w:name w:val="sm"/>
    <w:basedOn w:val="Normal"/>
    <w:pPr>
      <w:ind w:left="108" w:right="108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A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ind w:left="108" w:right="108"/>
    </w:pPr>
  </w:style>
  <w:style w:type="paragraph" w:customStyle="1" w:styleId="sm">
    <w:name w:val="sm"/>
    <w:basedOn w:val="Normal"/>
    <w:pPr>
      <w:ind w:left="108" w:right="108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eb.liemsis.lt/lkkadocs/logoforprin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STUDIJŲ DALYKO PROGRAMA B110D001</vt:lpstr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STUDIJŲ DALYKO PROGRAMA B110D001</dc:title>
  <dc:creator>Ušpurienė, Aistė</dc:creator>
  <cp:lastModifiedBy>Majauskiene, Daiva</cp:lastModifiedBy>
  <cp:revision>2</cp:revision>
  <dcterms:created xsi:type="dcterms:W3CDTF">2015-02-04T12:25:00Z</dcterms:created>
  <dcterms:modified xsi:type="dcterms:W3CDTF">2015-02-04T12:25:00Z</dcterms:modified>
</cp:coreProperties>
</file>